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7643F" w14:textId="284D2B44" w:rsidR="00AA12FC" w:rsidRPr="00AA12FC" w:rsidRDefault="00891C55" w:rsidP="00403B73">
      <w:pPr>
        <w:pStyle w:val="Nagwek1"/>
        <w:spacing w:after="480"/>
        <w:ind w:left="11" w:hanging="11"/>
        <w:rPr>
          <w:rFonts w:asciiTheme="minorHAnsi" w:hAnsiTheme="minorHAnsi" w:cstheme="minorHAnsi"/>
        </w:rPr>
      </w:pPr>
      <w:r w:rsidRPr="00AA12FC">
        <w:rPr>
          <w:rFonts w:asciiTheme="minorHAnsi" w:hAnsiTheme="minorHAnsi" w:cstheme="minorHAnsi"/>
        </w:rPr>
        <w:t>Wytyczne dotyczące modelu i metodyki określania pojemności infrastruktury radiowej dla konkursów w ramach Krajowego Planu Odbudowy i Zwiększania Odporności (KPO) oraz programu Fundusze Europejskie na Rozwój Cyfrowy 2021-2027 (FERC)</w:t>
      </w:r>
    </w:p>
    <w:p w14:paraId="4225FA04" w14:textId="5C2324DF" w:rsidR="00EF53EA" w:rsidRPr="00925019" w:rsidRDefault="00891C55" w:rsidP="00403B73">
      <w:pPr>
        <w:pStyle w:val="Akapitzlist"/>
        <w:numPr>
          <w:ilvl w:val="0"/>
          <w:numId w:val="3"/>
        </w:numPr>
        <w:spacing w:after="81"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>W celu prawidłowego zwymiarowania radiowych sieci szerokopasmowych wybudowanych, rozbudowanych lub przebudowanych z wykorzystaniem środków publicznych przyznanych w ramach konkursów KPO/FERC należy określić:</w:t>
      </w:r>
    </w:p>
    <w:p w14:paraId="45F54E82" w14:textId="77777777" w:rsidR="00EF53EA" w:rsidRPr="00925019" w:rsidRDefault="00891C55" w:rsidP="00403B73">
      <w:pPr>
        <w:pStyle w:val="Akapitzlist"/>
        <w:numPr>
          <w:ilvl w:val="0"/>
          <w:numId w:val="4"/>
        </w:numPr>
        <w:spacing w:after="29"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wolumen ruchu przypadający na jednego użytkownika sieci w jednostce czasu, </w:t>
      </w:r>
      <w:r w:rsidRPr="00925019">
        <w:rPr>
          <w:rFonts w:asciiTheme="minorHAnsi" w:eastAsia="Courier New" w:hAnsiTheme="minorHAnsi" w:cstheme="minorHAnsi"/>
        </w:rPr>
        <w:t>o</w:t>
      </w:r>
      <w:r w:rsidRPr="00925019">
        <w:rPr>
          <w:rFonts w:asciiTheme="minorHAnsi" w:eastAsia="Arial" w:hAnsiTheme="minorHAnsi" w:cstheme="minorHAnsi"/>
        </w:rPr>
        <w:t xml:space="preserve"> </w:t>
      </w:r>
      <w:r w:rsidRPr="00925019">
        <w:rPr>
          <w:rFonts w:asciiTheme="minorHAnsi" w:hAnsiTheme="minorHAnsi" w:cstheme="minorHAnsi"/>
        </w:rPr>
        <w:t xml:space="preserve">rozkład tego ruchu, </w:t>
      </w:r>
      <w:r w:rsidRPr="00925019">
        <w:rPr>
          <w:rFonts w:asciiTheme="minorHAnsi" w:eastAsia="Courier New" w:hAnsiTheme="minorHAnsi" w:cstheme="minorHAnsi"/>
        </w:rPr>
        <w:t>o</w:t>
      </w:r>
      <w:r w:rsidRPr="00925019">
        <w:rPr>
          <w:rFonts w:asciiTheme="minorHAnsi" w:eastAsia="Arial" w:hAnsiTheme="minorHAnsi" w:cstheme="minorHAnsi"/>
        </w:rPr>
        <w:t xml:space="preserve"> </w:t>
      </w:r>
      <w:r w:rsidRPr="00925019">
        <w:rPr>
          <w:rFonts w:asciiTheme="minorHAnsi" w:hAnsiTheme="minorHAnsi" w:cstheme="minorHAnsi"/>
        </w:rPr>
        <w:t xml:space="preserve">wymagany model obliczeń. </w:t>
      </w:r>
    </w:p>
    <w:p w14:paraId="6ED1B002" w14:textId="283B74B7" w:rsidR="00EF53EA" w:rsidRPr="00925019" w:rsidRDefault="00891C55" w:rsidP="00403B73">
      <w:pPr>
        <w:pStyle w:val="Akapitzlist"/>
        <w:numPr>
          <w:ilvl w:val="0"/>
          <w:numId w:val="3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>Do wyznaczania pojemności danego elementu infrastruktury rekomenduje się wykorzystać model</w:t>
      </w:r>
      <w:r w:rsidR="00AA12FC" w:rsidRPr="00925019">
        <w:rPr>
          <w:rFonts w:asciiTheme="minorHAnsi" w:hAnsiTheme="minorHAnsi" w:cstheme="minorHAnsi"/>
        </w:rPr>
        <w:t xml:space="preserve"> </w:t>
      </w:r>
      <w:r w:rsidRPr="00925019">
        <w:rPr>
          <w:rFonts w:asciiTheme="minorHAnsi" w:hAnsiTheme="minorHAnsi" w:cstheme="minorHAnsi"/>
        </w:rPr>
        <w:t>Erlang C.</w:t>
      </w:r>
    </w:p>
    <w:p w14:paraId="7D5A344F" w14:textId="77777777" w:rsidR="00EF53EA" w:rsidRPr="00925019" w:rsidRDefault="00891C55" w:rsidP="00403B73">
      <w:pPr>
        <w:pStyle w:val="Akapitzlist"/>
        <w:numPr>
          <w:ilvl w:val="0"/>
          <w:numId w:val="4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Model ten uwzględnia kolejkowanie, które występuje w usługach transmisji danych. </w:t>
      </w:r>
    </w:p>
    <w:p w14:paraId="0895B702" w14:textId="4119838A" w:rsidR="00EF53EA" w:rsidRPr="00925019" w:rsidRDefault="00891C55" w:rsidP="00403B73">
      <w:pPr>
        <w:pStyle w:val="Akapitzlist"/>
        <w:numPr>
          <w:ilvl w:val="0"/>
          <w:numId w:val="4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>Wyniki uzyskane z wykorzystaniem tego modelu są bliższe rzeczywistości niż te wyznaczone na podstawie modelu Erlang B, który dałby w tej sytuacji zawyżone wyniki. Zakłada on bowiem blokowanie zgłoszeń i generalnie wykorzystywany jest w analizie pojemnościowej dla standardowych usług głosowych.</w:t>
      </w:r>
    </w:p>
    <w:p w14:paraId="251B6333" w14:textId="77777777" w:rsidR="00925019" w:rsidRDefault="00891C55" w:rsidP="00403B73">
      <w:pPr>
        <w:pStyle w:val="Akapitzlist"/>
        <w:numPr>
          <w:ilvl w:val="0"/>
          <w:numId w:val="3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W przypadku systemów radiowych, zasięg oraz pojemność sektora należy określać przy założeniu dostępnej przepływności na granicy komórki na poziomie minimum 300 </w:t>
      </w:r>
      <w:proofErr w:type="spellStart"/>
      <w:r w:rsidRPr="00925019">
        <w:rPr>
          <w:rFonts w:asciiTheme="minorHAnsi" w:hAnsiTheme="minorHAnsi" w:cstheme="minorHAnsi"/>
        </w:rPr>
        <w:t>Mbit</w:t>
      </w:r>
      <w:proofErr w:type="spellEnd"/>
      <w:r w:rsidRPr="00925019">
        <w:rPr>
          <w:rFonts w:asciiTheme="minorHAnsi" w:hAnsiTheme="minorHAnsi" w:cstheme="minorHAnsi"/>
        </w:rPr>
        <w:t xml:space="preserve">/s w łączu w dół i 100 </w:t>
      </w:r>
      <w:proofErr w:type="spellStart"/>
      <w:r w:rsidRPr="00925019">
        <w:rPr>
          <w:rFonts w:asciiTheme="minorHAnsi" w:hAnsiTheme="minorHAnsi" w:cstheme="minorHAnsi"/>
        </w:rPr>
        <w:t>Mbit</w:t>
      </w:r>
      <w:proofErr w:type="spellEnd"/>
      <w:r w:rsidRPr="00925019">
        <w:rPr>
          <w:rFonts w:asciiTheme="minorHAnsi" w:hAnsiTheme="minorHAnsi" w:cstheme="minorHAnsi"/>
        </w:rPr>
        <w:t>/s w łączu w górę</w:t>
      </w:r>
      <w:r w:rsidRPr="00AA12FC">
        <w:rPr>
          <w:vertAlign w:val="superscript"/>
        </w:rPr>
        <w:footnoteReference w:id="1"/>
      </w:r>
      <w:r w:rsidRPr="00925019">
        <w:rPr>
          <w:rFonts w:asciiTheme="minorHAnsi" w:hAnsiTheme="minorHAnsi" w:cstheme="minorHAnsi"/>
        </w:rPr>
        <w:t>.</w:t>
      </w:r>
    </w:p>
    <w:p w14:paraId="0594AAB8" w14:textId="77777777" w:rsidR="00925019" w:rsidRDefault="00891C55" w:rsidP="00403B73">
      <w:pPr>
        <w:pStyle w:val="Akapitzlist"/>
        <w:numPr>
          <w:ilvl w:val="0"/>
          <w:numId w:val="6"/>
        </w:numPr>
        <w:spacing w:line="360" w:lineRule="auto"/>
        <w:ind w:left="1134"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Wszyscy użytkownicy sieci KPO/FERC, w tym znajdujący się na granicy komórki, muszą mieć zapewniony dostęp do łącza o przepływności minimum 300 </w:t>
      </w:r>
      <w:proofErr w:type="spellStart"/>
      <w:r w:rsidRPr="00925019">
        <w:rPr>
          <w:rFonts w:asciiTheme="minorHAnsi" w:hAnsiTheme="minorHAnsi" w:cstheme="minorHAnsi"/>
        </w:rPr>
        <w:t>Mbit</w:t>
      </w:r>
      <w:proofErr w:type="spellEnd"/>
      <w:r w:rsidRPr="00925019">
        <w:rPr>
          <w:rFonts w:asciiTheme="minorHAnsi" w:hAnsiTheme="minorHAnsi" w:cstheme="minorHAnsi"/>
        </w:rPr>
        <w:t xml:space="preserve">/s (w dół) i 100 </w:t>
      </w:r>
      <w:proofErr w:type="spellStart"/>
      <w:r w:rsidRPr="00925019">
        <w:rPr>
          <w:rFonts w:asciiTheme="minorHAnsi" w:hAnsiTheme="minorHAnsi" w:cstheme="minorHAnsi"/>
        </w:rPr>
        <w:t>Mbit</w:t>
      </w:r>
      <w:proofErr w:type="spellEnd"/>
      <w:r w:rsidRPr="00925019">
        <w:rPr>
          <w:rFonts w:asciiTheme="minorHAnsi" w:hAnsiTheme="minorHAnsi" w:cstheme="minorHAnsi"/>
        </w:rPr>
        <w:t xml:space="preserve">/s (w górę). </w:t>
      </w:r>
    </w:p>
    <w:p w14:paraId="157E542A" w14:textId="77777777" w:rsidR="00925019" w:rsidRDefault="00891C55" w:rsidP="00403B73">
      <w:pPr>
        <w:pStyle w:val="Akapitzlist"/>
        <w:numPr>
          <w:ilvl w:val="0"/>
          <w:numId w:val="6"/>
        </w:numPr>
        <w:spacing w:line="360" w:lineRule="auto"/>
        <w:ind w:left="1134"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Operator powinien zagwarantować dostępność zasobów w sektorze dla użytkowników sieci KPO/FERC. Sposób zapewnienia gwarancji zasobów pozostawiony jest do decyzji operatora, natomiast musi on być wiarygodnie udokumentowany na potrzeby oceny wniosków. </w:t>
      </w:r>
    </w:p>
    <w:p w14:paraId="539D5637" w14:textId="77777777" w:rsidR="00925019" w:rsidRDefault="00925019" w:rsidP="00403B73">
      <w:pPr>
        <w:pStyle w:val="Akapitzlist"/>
        <w:numPr>
          <w:ilvl w:val="0"/>
          <w:numId w:val="6"/>
        </w:numPr>
        <w:spacing w:line="360" w:lineRule="auto"/>
        <w:ind w:left="1134" w:right="0" w:hanging="357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891C55" w:rsidRPr="00925019">
        <w:rPr>
          <w:rFonts w:asciiTheme="minorHAnsi" w:hAnsiTheme="minorHAnsi" w:cstheme="minorHAnsi"/>
        </w:rPr>
        <w:t xml:space="preserve">ekomenduje się, aby minimalne zasoby sektora na granicy komórki, które będą użyte na potrzeby modelu i wymiarowania, były określane na poziomie maksymalnie 50% pojemności teoretycznej sektora (tj. pojemności interfejsu radiowego), zagwarantowanej dla użytkowników sieci KPO/FERC. </w:t>
      </w:r>
    </w:p>
    <w:p w14:paraId="1A84FE6B" w14:textId="77777777" w:rsidR="00925019" w:rsidRDefault="00891C55" w:rsidP="00403B73">
      <w:pPr>
        <w:pStyle w:val="Akapitzlist"/>
        <w:numPr>
          <w:ilvl w:val="0"/>
          <w:numId w:val="6"/>
        </w:numPr>
        <w:spacing w:line="360" w:lineRule="auto"/>
        <w:ind w:left="1134"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Jeżeli operator będzie stosował wyższy procent wykorzystania pojemności w sektorze, to musi to udokumentować wykonanym planowaniem radiowym (co najmniej w zakresie </w:t>
      </w:r>
      <w:r w:rsidRPr="00925019">
        <w:rPr>
          <w:rFonts w:asciiTheme="minorHAnsi" w:hAnsiTheme="minorHAnsi" w:cstheme="minorHAnsi"/>
        </w:rPr>
        <w:lastRenderedPageBreak/>
        <w:t xml:space="preserve">wymiarowania zasięgowo-pojemnościowego) potwierdzającym dostępność wymaganych zasobów dla wszystkich punktów adresowych wykazanych jako będące w zasięgu danego sektora. </w:t>
      </w:r>
    </w:p>
    <w:p w14:paraId="2718D416" w14:textId="57A2C5A4" w:rsidR="00EF53EA" w:rsidRPr="00925019" w:rsidRDefault="00891C55" w:rsidP="00403B73">
      <w:pPr>
        <w:pStyle w:val="Akapitzlist"/>
        <w:numPr>
          <w:ilvl w:val="0"/>
          <w:numId w:val="6"/>
        </w:numPr>
        <w:spacing w:line="360" w:lineRule="auto"/>
        <w:ind w:left="1134"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Rekomenduje się, aby przy projektowaniu zasobów sieci wziąć pod uwagę fakt, że rozkład użytkowników sieci KPO/FERC może być różny w różnych sektorach, a ponadto teoretycznie dostępne pojemności nie przekładają się wprost na pojemność rzeczywistą. </w:t>
      </w:r>
    </w:p>
    <w:p w14:paraId="75E9DE7E" w14:textId="77777777" w:rsidR="00925019" w:rsidRDefault="00891C55" w:rsidP="00403B73">
      <w:pPr>
        <w:pStyle w:val="Akapitzlist"/>
        <w:numPr>
          <w:ilvl w:val="0"/>
          <w:numId w:val="3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>Na podstawie danych zebranych z rynku, dotyczących wolumenu danych pobieranych miesięcznie przez użytkowników w sieciach szerokopasmowych wykonanych w różnych technologiach</w:t>
      </w:r>
      <w:r w:rsidRPr="00AA12FC">
        <w:rPr>
          <w:vertAlign w:val="superscript"/>
        </w:rPr>
        <w:footnoteReference w:id="2"/>
      </w:r>
      <w:r w:rsidRPr="00925019">
        <w:rPr>
          <w:rFonts w:asciiTheme="minorHAnsi" w:hAnsiTheme="minorHAnsi" w:cstheme="minorHAnsi"/>
        </w:rPr>
        <w:t xml:space="preserve">, statystyk ruchu oraz stosowanych przez operatorów modelach ruchu, przyjęto założenie, że minimalny wolumen ruchu pobierany miesięcznie przez jednego użytkownika w roku 2027 wyniesie dla dostępu 300 </w:t>
      </w:r>
      <w:proofErr w:type="spellStart"/>
      <w:r w:rsidRPr="00925019">
        <w:rPr>
          <w:rFonts w:asciiTheme="minorHAnsi" w:hAnsiTheme="minorHAnsi" w:cstheme="minorHAnsi"/>
        </w:rPr>
        <w:t>Mbit</w:t>
      </w:r>
      <w:proofErr w:type="spellEnd"/>
      <w:r w:rsidRPr="00925019">
        <w:rPr>
          <w:rFonts w:asciiTheme="minorHAnsi" w:hAnsiTheme="minorHAnsi" w:cstheme="minorHAnsi"/>
        </w:rPr>
        <w:t xml:space="preserve">/s: 1000 GB (1 TB), a dla dostępu 1 </w:t>
      </w:r>
      <w:proofErr w:type="spellStart"/>
      <w:r w:rsidRPr="00925019">
        <w:rPr>
          <w:rFonts w:asciiTheme="minorHAnsi" w:hAnsiTheme="minorHAnsi" w:cstheme="minorHAnsi"/>
        </w:rPr>
        <w:t>Gbit</w:t>
      </w:r>
      <w:proofErr w:type="spellEnd"/>
      <w:r w:rsidRPr="00925019">
        <w:rPr>
          <w:rFonts w:asciiTheme="minorHAnsi" w:hAnsiTheme="minorHAnsi" w:cstheme="minorHAnsi"/>
        </w:rPr>
        <w:t xml:space="preserve">/s: 2000 GB (2 TB). </w:t>
      </w:r>
    </w:p>
    <w:p w14:paraId="30CEC4C2" w14:textId="77777777" w:rsidR="00925019" w:rsidRDefault="00891C55" w:rsidP="00403B73">
      <w:pPr>
        <w:pStyle w:val="Akapitzlist"/>
        <w:numPr>
          <w:ilvl w:val="0"/>
          <w:numId w:val="3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Powyższe dane przyjęto na podstawie wolumenów danych pobieranych miesięcznie przez użytkowników w sieciach szerokopasmowych (dostęp stały) w Polsce w roku 2021 - dla dostępu 300 </w:t>
      </w:r>
      <w:proofErr w:type="spellStart"/>
      <w:r w:rsidRPr="00925019">
        <w:rPr>
          <w:rFonts w:asciiTheme="minorHAnsi" w:hAnsiTheme="minorHAnsi" w:cstheme="minorHAnsi"/>
        </w:rPr>
        <w:t>Mbit</w:t>
      </w:r>
      <w:proofErr w:type="spellEnd"/>
      <w:r w:rsidRPr="00925019">
        <w:rPr>
          <w:rFonts w:asciiTheme="minorHAnsi" w:hAnsiTheme="minorHAnsi" w:cstheme="minorHAnsi"/>
        </w:rPr>
        <w:t xml:space="preserve">/s na poziomie 250 GB oraz dla dostępu 1 </w:t>
      </w:r>
      <w:proofErr w:type="spellStart"/>
      <w:r w:rsidRPr="00925019">
        <w:rPr>
          <w:rFonts w:asciiTheme="minorHAnsi" w:hAnsiTheme="minorHAnsi" w:cstheme="minorHAnsi"/>
        </w:rPr>
        <w:t>Gbit</w:t>
      </w:r>
      <w:proofErr w:type="spellEnd"/>
      <w:r w:rsidRPr="00925019">
        <w:rPr>
          <w:rFonts w:asciiTheme="minorHAnsi" w:hAnsiTheme="minorHAnsi" w:cstheme="minorHAnsi"/>
        </w:rPr>
        <w:t xml:space="preserve">/s na poziomie 500 GB, przy zakładanym rocznym wzroście ruchu w sieci na poziomie 26%. </w:t>
      </w:r>
    </w:p>
    <w:p w14:paraId="315DDE11" w14:textId="77777777" w:rsidR="00925019" w:rsidRDefault="00891C55" w:rsidP="00403B73">
      <w:pPr>
        <w:pStyle w:val="Akapitzlist"/>
        <w:numPr>
          <w:ilvl w:val="0"/>
          <w:numId w:val="3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Zakłada się, że na godzinę największego ruchu (GNR) przypada 50% ruchu dziennego dla wolumenów miesięcznych zarówno 1 TB jak i 2 TB. </w:t>
      </w:r>
    </w:p>
    <w:p w14:paraId="38D170AE" w14:textId="77777777" w:rsidR="00925019" w:rsidRDefault="00891C55" w:rsidP="00403B73">
      <w:pPr>
        <w:pStyle w:val="Akapitzlist"/>
        <w:numPr>
          <w:ilvl w:val="0"/>
          <w:numId w:val="8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Dla 1 TB daje to około 36,7 </w:t>
      </w:r>
      <w:proofErr w:type="spellStart"/>
      <w:r w:rsidRPr="00925019">
        <w:rPr>
          <w:rFonts w:asciiTheme="minorHAnsi" w:hAnsiTheme="minorHAnsi" w:cstheme="minorHAnsi"/>
        </w:rPr>
        <w:t>Mbit</w:t>
      </w:r>
      <w:proofErr w:type="spellEnd"/>
      <w:r w:rsidRPr="00925019">
        <w:rPr>
          <w:rFonts w:asciiTheme="minorHAnsi" w:hAnsiTheme="minorHAnsi" w:cstheme="minorHAnsi"/>
        </w:rPr>
        <w:t>/s generowane średnio w GNR – wymagane na jednego użytkownika.</w:t>
      </w:r>
    </w:p>
    <w:p w14:paraId="60310A53" w14:textId="7B81ACDC" w:rsidR="00EF53EA" w:rsidRPr="00925019" w:rsidRDefault="00891C55" w:rsidP="00403B73">
      <w:pPr>
        <w:pStyle w:val="Akapitzlist"/>
        <w:numPr>
          <w:ilvl w:val="0"/>
          <w:numId w:val="8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Dla 2 TB daje to około 73,4 </w:t>
      </w:r>
      <w:proofErr w:type="spellStart"/>
      <w:r w:rsidRPr="00925019">
        <w:rPr>
          <w:rFonts w:asciiTheme="minorHAnsi" w:hAnsiTheme="minorHAnsi" w:cstheme="minorHAnsi"/>
        </w:rPr>
        <w:t>Mbit</w:t>
      </w:r>
      <w:proofErr w:type="spellEnd"/>
      <w:r w:rsidRPr="00925019">
        <w:rPr>
          <w:rFonts w:asciiTheme="minorHAnsi" w:hAnsiTheme="minorHAnsi" w:cstheme="minorHAnsi"/>
        </w:rPr>
        <w:t xml:space="preserve">/s generowane średnio w GNR – wymagane na jednego użytkownika. </w:t>
      </w:r>
    </w:p>
    <w:p w14:paraId="3CE9601F" w14:textId="77777777" w:rsidR="00925019" w:rsidRDefault="00891C55" w:rsidP="00403B73">
      <w:pPr>
        <w:pStyle w:val="Akapitzlist"/>
        <w:numPr>
          <w:ilvl w:val="0"/>
          <w:numId w:val="3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Aktywność użytkownika korzystającego z Internetu powinna być określona na poziomie 35%. </w:t>
      </w:r>
    </w:p>
    <w:p w14:paraId="4D94FE46" w14:textId="77777777" w:rsidR="00925019" w:rsidRDefault="00891C55" w:rsidP="00403B73">
      <w:pPr>
        <w:pStyle w:val="Akapitzlist"/>
        <w:numPr>
          <w:ilvl w:val="0"/>
          <w:numId w:val="10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Zakłada się zatem, że użytkownik w trakcie korzystania z Internet korzysta z faktycznej transmisji danych przez 35% czasu, w którym jest zalogowany do sieci. </w:t>
      </w:r>
    </w:p>
    <w:p w14:paraId="3DA7BCA8" w14:textId="37EE5739" w:rsidR="00EF53EA" w:rsidRPr="00925019" w:rsidRDefault="00891C55" w:rsidP="00403B73">
      <w:pPr>
        <w:pStyle w:val="Akapitzlist"/>
        <w:numPr>
          <w:ilvl w:val="0"/>
          <w:numId w:val="10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Aktywność użytkowników stacjonarnych jest wyższa niż w przypadku użytkowników mobilnych, dla których przyjmuje się często wartość aktywności na poziomie 20%. </w:t>
      </w:r>
    </w:p>
    <w:p w14:paraId="2668ABC4" w14:textId="77777777" w:rsidR="00925019" w:rsidRDefault="00891C55" w:rsidP="00403B73">
      <w:pPr>
        <w:pStyle w:val="Akapitzlist"/>
        <w:numPr>
          <w:ilvl w:val="0"/>
          <w:numId w:val="3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Należy założyć, że każdy użytkownik sieci KPO/FERC będzie generował ruch na poziomie maksimum 0,5 </w:t>
      </w:r>
      <w:proofErr w:type="spellStart"/>
      <w:r w:rsidRPr="00925019">
        <w:rPr>
          <w:rFonts w:asciiTheme="minorHAnsi" w:hAnsiTheme="minorHAnsi" w:cstheme="minorHAnsi"/>
        </w:rPr>
        <w:t>Erlanga</w:t>
      </w:r>
      <w:proofErr w:type="spellEnd"/>
      <w:r w:rsidRPr="00925019">
        <w:rPr>
          <w:rFonts w:asciiTheme="minorHAnsi" w:hAnsiTheme="minorHAnsi" w:cstheme="minorHAnsi"/>
        </w:rPr>
        <w:t xml:space="preserve"> w GNR w łączu 300 </w:t>
      </w:r>
      <w:proofErr w:type="spellStart"/>
      <w:r w:rsidRPr="00925019">
        <w:rPr>
          <w:rFonts w:asciiTheme="minorHAnsi" w:hAnsiTheme="minorHAnsi" w:cstheme="minorHAnsi"/>
        </w:rPr>
        <w:t>Mbit</w:t>
      </w:r>
      <w:proofErr w:type="spellEnd"/>
      <w:r w:rsidRPr="00925019">
        <w:rPr>
          <w:rFonts w:asciiTheme="minorHAnsi" w:hAnsiTheme="minorHAnsi" w:cstheme="minorHAnsi"/>
        </w:rPr>
        <w:t xml:space="preserve">/s oraz 0,25 </w:t>
      </w:r>
      <w:proofErr w:type="spellStart"/>
      <w:r w:rsidRPr="00925019">
        <w:rPr>
          <w:rFonts w:asciiTheme="minorHAnsi" w:hAnsiTheme="minorHAnsi" w:cstheme="minorHAnsi"/>
        </w:rPr>
        <w:t>Erlanga</w:t>
      </w:r>
      <w:proofErr w:type="spellEnd"/>
      <w:r w:rsidRPr="00925019">
        <w:rPr>
          <w:rFonts w:asciiTheme="minorHAnsi" w:hAnsiTheme="minorHAnsi" w:cstheme="minorHAnsi"/>
        </w:rPr>
        <w:t xml:space="preserve"> w GNR w łączu 1 </w:t>
      </w:r>
      <w:proofErr w:type="spellStart"/>
      <w:r w:rsidRPr="00925019">
        <w:rPr>
          <w:rFonts w:asciiTheme="minorHAnsi" w:hAnsiTheme="minorHAnsi" w:cstheme="minorHAnsi"/>
        </w:rPr>
        <w:t>Gbit</w:t>
      </w:r>
      <w:proofErr w:type="spellEnd"/>
      <w:r w:rsidRPr="00925019">
        <w:rPr>
          <w:rFonts w:asciiTheme="minorHAnsi" w:hAnsiTheme="minorHAnsi" w:cstheme="minorHAnsi"/>
        </w:rPr>
        <w:t>/s.</w:t>
      </w:r>
    </w:p>
    <w:p w14:paraId="20D995BE" w14:textId="1AAE2907" w:rsidR="00EF53EA" w:rsidRPr="00925019" w:rsidRDefault="00891C55" w:rsidP="00403B73">
      <w:pPr>
        <w:pStyle w:val="Akapitzlist"/>
        <w:numPr>
          <w:ilvl w:val="0"/>
          <w:numId w:val="12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Zakłada się zatem, że w GNR użytkownik korzysta przez 30 minut z Internetu z aktywnością 35% w przypadku łącza 300 </w:t>
      </w:r>
      <w:proofErr w:type="spellStart"/>
      <w:r w:rsidRPr="00925019">
        <w:rPr>
          <w:rFonts w:asciiTheme="minorHAnsi" w:hAnsiTheme="minorHAnsi" w:cstheme="minorHAnsi"/>
        </w:rPr>
        <w:t>Mbit</w:t>
      </w:r>
      <w:proofErr w:type="spellEnd"/>
      <w:r w:rsidRPr="00925019">
        <w:rPr>
          <w:rFonts w:asciiTheme="minorHAnsi" w:hAnsiTheme="minorHAnsi" w:cstheme="minorHAnsi"/>
        </w:rPr>
        <w:t xml:space="preserve">/s, a przez 15 minut z aktywnością 35% z łącza 1 </w:t>
      </w:r>
      <w:proofErr w:type="spellStart"/>
      <w:r w:rsidRPr="00925019">
        <w:rPr>
          <w:rFonts w:asciiTheme="minorHAnsi" w:hAnsiTheme="minorHAnsi" w:cstheme="minorHAnsi"/>
        </w:rPr>
        <w:t>Gbit</w:t>
      </w:r>
      <w:proofErr w:type="spellEnd"/>
      <w:r w:rsidRPr="00925019">
        <w:rPr>
          <w:rFonts w:asciiTheme="minorHAnsi" w:hAnsiTheme="minorHAnsi" w:cstheme="minorHAnsi"/>
        </w:rPr>
        <w:t xml:space="preserve">/s. </w:t>
      </w:r>
    </w:p>
    <w:p w14:paraId="7F5CE16C" w14:textId="77777777" w:rsidR="00925019" w:rsidRDefault="00891C55" w:rsidP="00403B73">
      <w:pPr>
        <w:pStyle w:val="Akapitzlist"/>
        <w:numPr>
          <w:ilvl w:val="0"/>
          <w:numId w:val="3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lastRenderedPageBreak/>
        <w:t xml:space="preserve">Użytkownik musi mieć dostęp do usługi transmisji o przepływności odpowiednio 300 </w:t>
      </w:r>
      <w:proofErr w:type="spellStart"/>
      <w:r w:rsidRPr="00925019">
        <w:rPr>
          <w:rFonts w:asciiTheme="minorHAnsi" w:hAnsiTheme="minorHAnsi" w:cstheme="minorHAnsi"/>
        </w:rPr>
        <w:t>Mbit</w:t>
      </w:r>
      <w:proofErr w:type="spellEnd"/>
      <w:r w:rsidRPr="00925019">
        <w:rPr>
          <w:rFonts w:asciiTheme="minorHAnsi" w:hAnsiTheme="minorHAnsi" w:cstheme="minorHAnsi"/>
        </w:rPr>
        <w:t xml:space="preserve">/s i 1 </w:t>
      </w:r>
      <w:proofErr w:type="spellStart"/>
      <w:r w:rsidRPr="00925019">
        <w:rPr>
          <w:rFonts w:asciiTheme="minorHAnsi" w:hAnsiTheme="minorHAnsi" w:cstheme="minorHAnsi"/>
        </w:rPr>
        <w:t>Gbit</w:t>
      </w:r>
      <w:proofErr w:type="spellEnd"/>
      <w:r w:rsidRPr="00925019">
        <w:rPr>
          <w:rFonts w:asciiTheme="minorHAnsi" w:hAnsiTheme="minorHAnsi" w:cstheme="minorHAnsi"/>
        </w:rPr>
        <w:t xml:space="preserve">/s w dół w 95% czasu GNR. </w:t>
      </w:r>
      <w:r w:rsidRPr="00925019">
        <w:rPr>
          <w:rFonts w:asciiTheme="minorHAnsi" w:eastAsia="Courier New" w:hAnsiTheme="minorHAnsi" w:cstheme="minorHAnsi"/>
        </w:rPr>
        <w:t>o</w:t>
      </w:r>
      <w:r w:rsidRPr="00925019">
        <w:rPr>
          <w:rFonts w:asciiTheme="minorHAnsi" w:eastAsia="Arial" w:hAnsiTheme="minorHAnsi" w:cstheme="minorHAnsi"/>
        </w:rPr>
        <w:t xml:space="preserve"> </w:t>
      </w:r>
      <w:r w:rsidRPr="00925019">
        <w:rPr>
          <w:rFonts w:asciiTheme="minorHAnsi" w:hAnsiTheme="minorHAnsi" w:cstheme="minorHAnsi"/>
        </w:rPr>
        <w:t xml:space="preserve">Prawdopodobieństwo oczekiwania w modelu Erlang C rekomenduje się zatem ustalić na poziomie maksymalnie 5%. </w:t>
      </w:r>
    </w:p>
    <w:p w14:paraId="44216163" w14:textId="77777777" w:rsidR="00925019" w:rsidRDefault="00891C55" w:rsidP="00403B73">
      <w:pPr>
        <w:pStyle w:val="Akapitzlist"/>
        <w:numPr>
          <w:ilvl w:val="0"/>
          <w:numId w:val="12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Przepływność 300 </w:t>
      </w:r>
      <w:proofErr w:type="spellStart"/>
      <w:r w:rsidRPr="00925019">
        <w:rPr>
          <w:rFonts w:asciiTheme="minorHAnsi" w:hAnsiTheme="minorHAnsi" w:cstheme="minorHAnsi"/>
        </w:rPr>
        <w:t>Mbit</w:t>
      </w:r>
      <w:proofErr w:type="spellEnd"/>
      <w:r w:rsidRPr="00925019">
        <w:rPr>
          <w:rFonts w:asciiTheme="minorHAnsi" w:hAnsiTheme="minorHAnsi" w:cstheme="minorHAnsi"/>
        </w:rPr>
        <w:t xml:space="preserve">/s przy aktywności użytkownika na poziomie 35% oraz przy założeniu generowanego ruchu na poziomie 0,5 </w:t>
      </w:r>
      <w:proofErr w:type="spellStart"/>
      <w:r w:rsidRPr="00925019">
        <w:rPr>
          <w:rFonts w:asciiTheme="minorHAnsi" w:hAnsiTheme="minorHAnsi" w:cstheme="minorHAnsi"/>
        </w:rPr>
        <w:t>Erlanga</w:t>
      </w:r>
      <w:proofErr w:type="spellEnd"/>
      <w:r w:rsidRPr="00925019">
        <w:rPr>
          <w:rFonts w:asciiTheme="minorHAnsi" w:hAnsiTheme="minorHAnsi" w:cstheme="minorHAnsi"/>
        </w:rPr>
        <w:t xml:space="preserve"> w GNR oznacza w efekcie dostępną przepływność średnią w GNR na poziomie 52,5 </w:t>
      </w:r>
      <w:proofErr w:type="spellStart"/>
      <w:r w:rsidRPr="00925019">
        <w:rPr>
          <w:rFonts w:asciiTheme="minorHAnsi" w:hAnsiTheme="minorHAnsi" w:cstheme="minorHAnsi"/>
        </w:rPr>
        <w:t>Mbit</w:t>
      </w:r>
      <w:proofErr w:type="spellEnd"/>
      <w:r w:rsidRPr="00925019">
        <w:rPr>
          <w:rFonts w:asciiTheme="minorHAnsi" w:hAnsiTheme="minorHAnsi" w:cstheme="minorHAnsi"/>
        </w:rPr>
        <w:t xml:space="preserve">/s na użytkownika (wartość wyższa niż wyznaczona wymagana przepływność dla wolumenu 1000 GB miesięcznie, tj. 36,7 </w:t>
      </w:r>
      <w:proofErr w:type="spellStart"/>
      <w:r w:rsidRPr="00925019">
        <w:rPr>
          <w:rFonts w:asciiTheme="minorHAnsi" w:hAnsiTheme="minorHAnsi" w:cstheme="minorHAnsi"/>
        </w:rPr>
        <w:t>Mbit</w:t>
      </w:r>
      <w:proofErr w:type="spellEnd"/>
      <w:r w:rsidRPr="00925019">
        <w:rPr>
          <w:rFonts w:asciiTheme="minorHAnsi" w:hAnsiTheme="minorHAnsi" w:cstheme="minorHAnsi"/>
        </w:rPr>
        <w:t xml:space="preserve">/s). </w:t>
      </w:r>
    </w:p>
    <w:p w14:paraId="3DA3AE33" w14:textId="48770CBF" w:rsidR="00EF53EA" w:rsidRPr="00403B73" w:rsidRDefault="00891C55" w:rsidP="00403B73">
      <w:pPr>
        <w:pStyle w:val="Akapitzlist"/>
        <w:numPr>
          <w:ilvl w:val="0"/>
          <w:numId w:val="12"/>
        </w:numPr>
        <w:spacing w:line="360" w:lineRule="auto"/>
        <w:ind w:right="0" w:hanging="357"/>
        <w:jc w:val="left"/>
        <w:rPr>
          <w:rFonts w:asciiTheme="minorHAnsi" w:hAnsiTheme="minorHAnsi" w:cstheme="minorHAnsi"/>
        </w:rPr>
      </w:pPr>
      <w:r w:rsidRPr="00925019">
        <w:rPr>
          <w:rFonts w:asciiTheme="minorHAnsi" w:hAnsiTheme="minorHAnsi" w:cstheme="minorHAnsi"/>
        </w:rPr>
        <w:t xml:space="preserve">Przepływność 1 </w:t>
      </w:r>
      <w:proofErr w:type="spellStart"/>
      <w:r w:rsidRPr="00925019">
        <w:rPr>
          <w:rFonts w:asciiTheme="minorHAnsi" w:hAnsiTheme="minorHAnsi" w:cstheme="minorHAnsi"/>
        </w:rPr>
        <w:t>Gbit</w:t>
      </w:r>
      <w:proofErr w:type="spellEnd"/>
      <w:r w:rsidRPr="00925019">
        <w:rPr>
          <w:rFonts w:asciiTheme="minorHAnsi" w:hAnsiTheme="minorHAnsi" w:cstheme="minorHAnsi"/>
        </w:rPr>
        <w:t xml:space="preserve">/s przy aktywności użytkownika na poziomie 35% oraz przy założeniu generowanego ruchu na poziomie 0,25 </w:t>
      </w:r>
      <w:proofErr w:type="spellStart"/>
      <w:r w:rsidRPr="00925019">
        <w:rPr>
          <w:rFonts w:asciiTheme="minorHAnsi" w:hAnsiTheme="minorHAnsi" w:cstheme="minorHAnsi"/>
        </w:rPr>
        <w:t>Erlanga</w:t>
      </w:r>
      <w:proofErr w:type="spellEnd"/>
      <w:r w:rsidRPr="00925019">
        <w:rPr>
          <w:rFonts w:asciiTheme="minorHAnsi" w:hAnsiTheme="minorHAnsi" w:cstheme="minorHAnsi"/>
        </w:rPr>
        <w:t xml:space="preserve"> w GNR oznacza w efekcie dostępną przepływność średnią w GNR na poziomie 87,5 </w:t>
      </w:r>
      <w:proofErr w:type="spellStart"/>
      <w:r w:rsidRPr="00925019">
        <w:rPr>
          <w:rFonts w:asciiTheme="minorHAnsi" w:hAnsiTheme="minorHAnsi" w:cstheme="minorHAnsi"/>
        </w:rPr>
        <w:t>Mbit</w:t>
      </w:r>
      <w:proofErr w:type="spellEnd"/>
      <w:r w:rsidRPr="00925019">
        <w:rPr>
          <w:rFonts w:asciiTheme="minorHAnsi" w:hAnsiTheme="minorHAnsi" w:cstheme="minorHAnsi"/>
        </w:rPr>
        <w:t xml:space="preserve">/s na użytkownika (wartość wyższa niż wyznaczona wymagana przepływność dla wolumenu 2000 GB miesięcznie, tj. 73,4 </w:t>
      </w:r>
      <w:proofErr w:type="spellStart"/>
      <w:r w:rsidRPr="00925019">
        <w:rPr>
          <w:rFonts w:asciiTheme="minorHAnsi" w:hAnsiTheme="minorHAnsi" w:cstheme="minorHAnsi"/>
        </w:rPr>
        <w:t>Mbit</w:t>
      </w:r>
      <w:proofErr w:type="spellEnd"/>
      <w:r w:rsidRPr="00925019">
        <w:rPr>
          <w:rFonts w:asciiTheme="minorHAnsi" w:hAnsiTheme="minorHAnsi" w:cstheme="minorHAnsi"/>
        </w:rPr>
        <w:t>/s).</w:t>
      </w:r>
    </w:p>
    <w:p w14:paraId="4B5EA442" w14:textId="77777777" w:rsidR="00EF53EA" w:rsidRPr="00AA12FC" w:rsidRDefault="00891C55" w:rsidP="00AA12FC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AA12FC">
        <w:rPr>
          <w:rFonts w:asciiTheme="minorHAnsi" w:hAnsiTheme="minorHAnsi" w:cstheme="minorHAnsi"/>
        </w:rPr>
        <w:t xml:space="preserve"> </w:t>
      </w:r>
      <w:r w:rsidRPr="00AA12FC">
        <w:rPr>
          <w:rFonts w:asciiTheme="minorHAnsi" w:hAnsiTheme="minorHAnsi" w:cstheme="minorHAnsi"/>
        </w:rPr>
        <w:tab/>
        <w:t xml:space="preserve"> </w:t>
      </w:r>
      <w:r w:rsidRPr="00AA12FC">
        <w:rPr>
          <w:rFonts w:asciiTheme="minorHAnsi" w:hAnsiTheme="minorHAnsi" w:cstheme="minorHAnsi"/>
        </w:rPr>
        <w:br w:type="page"/>
      </w:r>
    </w:p>
    <w:p w14:paraId="08D047A1" w14:textId="77777777" w:rsidR="00EF53EA" w:rsidRPr="00925019" w:rsidRDefault="00891C55" w:rsidP="00403B73">
      <w:pPr>
        <w:spacing w:after="360" w:line="259" w:lineRule="auto"/>
        <w:ind w:left="0" w:right="0" w:firstLine="0"/>
        <w:jc w:val="left"/>
        <w:rPr>
          <w:rFonts w:asciiTheme="minorHAnsi" w:hAnsiTheme="minorHAnsi" w:cstheme="minorHAnsi"/>
          <w:b/>
          <w:bCs/>
        </w:rPr>
      </w:pPr>
      <w:r w:rsidRPr="00925019">
        <w:rPr>
          <w:rFonts w:asciiTheme="minorHAnsi" w:hAnsiTheme="minorHAnsi" w:cstheme="minorHAnsi"/>
          <w:b/>
          <w:bCs/>
          <w:u w:color="000000"/>
        </w:rPr>
        <w:lastRenderedPageBreak/>
        <w:t>Wyznaczone pojemności elementów infrastruktury sieci KPO/FERC na bazie powyższych założeń dla</w:t>
      </w:r>
      <w:r w:rsidRPr="00925019">
        <w:rPr>
          <w:rFonts w:asciiTheme="minorHAnsi" w:hAnsiTheme="minorHAnsi" w:cstheme="minorHAnsi"/>
          <w:b/>
          <w:bCs/>
        </w:rPr>
        <w:t xml:space="preserve"> </w:t>
      </w:r>
      <w:r w:rsidRPr="00925019">
        <w:rPr>
          <w:rFonts w:asciiTheme="minorHAnsi" w:hAnsiTheme="minorHAnsi" w:cstheme="minorHAnsi"/>
          <w:b/>
          <w:bCs/>
          <w:u w:color="000000"/>
        </w:rPr>
        <w:t xml:space="preserve">łącza 300 </w:t>
      </w:r>
      <w:proofErr w:type="spellStart"/>
      <w:r w:rsidRPr="00925019">
        <w:rPr>
          <w:rFonts w:asciiTheme="minorHAnsi" w:hAnsiTheme="minorHAnsi" w:cstheme="minorHAnsi"/>
          <w:b/>
          <w:bCs/>
          <w:u w:color="000000"/>
        </w:rPr>
        <w:t>Mbit</w:t>
      </w:r>
      <w:proofErr w:type="spellEnd"/>
      <w:r w:rsidRPr="00925019">
        <w:rPr>
          <w:rFonts w:asciiTheme="minorHAnsi" w:hAnsiTheme="minorHAnsi" w:cstheme="minorHAnsi"/>
          <w:b/>
          <w:bCs/>
          <w:u w:color="000000"/>
        </w:rPr>
        <w:t xml:space="preserve">/s oraz 1 </w:t>
      </w:r>
      <w:proofErr w:type="spellStart"/>
      <w:r w:rsidRPr="00925019">
        <w:rPr>
          <w:rFonts w:asciiTheme="minorHAnsi" w:hAnsiTheme="minorHAnsi" w:cstheme="minorHAnsi"/>
          <w:b/>
          <w:bCs/>
          <w:u w:color="000000"/>
        </w:rPr>
        <w:t>Gbit</w:t>
      </w:r>
      <w:proofErr w:type="spellEnd"/>
      <w:r w:rsidRPr="00925019">
        <w:rPr>
          <w:rFonts w:asciiTheme="minorHAnsi" w:hAnsiTheme="minorHAnsi" w:cstheme="minorHAnsi"/>
          <w:b/>
          <w:bCs/>
          <w:u w:color="000000"/>
        </w:rPr>
        <w:t>/s:</w:t>
      </w:r>
      <w:r w:rsidRPr="00925019">
        <w:rPr>
          <w:rFonts w:asciiTheme="minorHAnsi" w:hAnsiTheme="minorHAnsi" w:cstheme="minorHAnsi"/>
          <w:b/>
          <w:bCs/>
        </w:rPr>
        <w:t xml:space="preserve"> </w:t>
      </w:r>
    </w:p>
    <w:tbl>
      <w:tblPr>
        <w:tblStyle w:val="TableGrid"/>
        <w:tblW w:w="7513" w:type="dxa"/>
        <w:tblInd w:w="274" w:type="dxa"/>
        <w:tblCellMar>
          <w:top w:w="47" w:type="dxa"/>
          <w:left w:w="70" w:type="dxa"/>
          <w:right w:w="32" w:type="dxa"/>
        </w:tblCellMar>
        <w:tblLook w:val="04A0" w:firstRow="1" w:lastRow="0" w:firstColumn="1" w:lastColumn="0" w:noHBand="0" w:noVBand="1"/>
      </w:tblPr>
      <w:tblGrid>
        <w:gridCol w:w="1843"/>
        <w:gridCol w:w="1559"/>
        <w:gridCol w:w="1537"/>
        <w:gridCol w:w="1298"/>
        <w:gridCol w:w="1276"/>
      </w:tblGrid>
      <w:tr w:rsidR="00EF53EA" w:rsidRPr="00AA12FC" w14:paraId="3907A438" w14:textId="77777777" w:rsidTr="00403B73">
        <w:trPr>
          <w:trHeight w:val="1301"/>
        </w:trPr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8A230" w14:textId="77777777" w:rsidR="00EF53EA" w:rsidRPr="00403B73" w:rsidRDefault="00891C55" w:rsidP="00AA12FC">
            <w:pPr>
              <w:spacing w:after="0" w:line="241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403B73">
              <w:rPr>
                <w:rFonts w:asciiTheme="minorHAnsi" w:hAnsiTheme="minorHAnsi" w:cstheme="minorHAnsi"/>
                <w:b/>
              </w:rPr>
              <w:t xml:space="preserve">Liczba możliwych </w:t>
            </w:r>
          </w:p>
          <w:p w14:paraId="1852D5D8" w14:textId="77777777" w:rsidR="00EF53EA" w:rsidRPr="00403B73" w:rsidRDefault="00891C55" w:rsidP="00AA12F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403B73">
              <w:rPr>
                <w:rFonts w:asciiTheme="minorHAnsi" w:hAnsiTheme="minorHAnsi" w:cstheme="minorHAnsi"/>
                <w:b/>
              </w:rPr>
              <w:t xml:space="preserve">użytkowników w sektorze </w:t>
            </w:r>
          </w:p>
        </w:tc>
        <w:tc>
          <w:tcPr>
            <w:tcW w:w="3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E2811B" w14:textId="77777777" w:rsidR="00EF53EA" w:rsidRPr="00403B73" w:rsidRDefault="00891C55" w:rsidP="00AA12F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403B73">
              <w:rPr>
                <w:rFonts w:asciiTheme="minorHAnsi" w:hAnsiTheme="minorHAnsi" w:cstheme="minorHAnsi"/>
                <w:b/>
              </w:rPr>
              <w:t>Wymagane minimalne zasoby na granicy komórki w sektorze [</w:t>
            </w:r>
            <w:proofErr w:type="spellStart"/>
            <w:r w:rsidRPr="00403B73">
              <w:rPr>
                <w:rFonts w:asciiTheme="minorHAnsi" w:hAnsiTheme="minorHAnsi" w:cstheme="minorHAnsi"/>
                <w:b/>
              </w:rPr>
              <w:t>Mbit</w:t>
            </w:r>
            <w:proofErr w:type="spellEnd"/>
            <w:r w:rsidRPr="00403B73">
              <w:rPr>
                <w:rFonts w:asciiTheme="minorHAnsi" w:hAnsiTheme="minorHAnsi" w:cstheme="minorHAnsi"/>
                <w:b/>
              </w:rPr>
              <w:t xml:space="preserve">/s] </w:t>
            </w:r>
          </w:p>
        </w:tc>
        <w:tc>
          <w:tcPr>
            <w:tcW w:w="25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7FC724" w14:textId="77777777" w:rsidR="00EF53EA" w:rsidRPr="00403B73" w:rsidRDefault="00891C55" w:rsidP="00AA12FC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403B73">
              <w:rPr>
                <w:rFonts w:asciiTheme="minorHAnsi" w:hAnsiTheme="minorHAnsi" w:cstheme="minorHAnsi"/>
                <w:b/>
              </w:rPr>
              <w:t>Rekomendowana teoretyczna pojemność sektora [</w:t>
            </w:r>
            <w:proofErr w:type="spellStart"/>
            <w:r w:rsidRPr="00403B73">
              <w:rPr>
                <w:rFonts w:asciiTheme="minorHAnsi" w:hAnsiTheme="minorHAnsi" w:cstheme="minorHAnsi"/>
                <w:b/>
              </w:rPr>
              <w:t>Mbit</w:t>
            </w:r>
            <w:proofErr w:type="spellEnd"/>
            <w:r w:rsidRPr="00403B73">
              <w:rPr>
                <w:rFonts w:asciiTheme="minorHAnsi" w:hAnsiTheme="minorHAnsi" w:cstheme="minorHAnsi"/>
                <w:b/>
              </w:rPr>
              <w:t xml:space="preserve">/s] </w:t>
            </w:r>
          </w:p>
        </w:tc>
      </w:tr>
      <w:tr w:rsidR="00EF53EA" w:rsidRPr="00AA12FC" w14:paraId="0A28E66A" w14:textId="77777777" w:rsidTr="00403B73">
        <w:trPr>
          <w:trHeight w:val="458"/>
        </w:trPr>
        <w:tc>
          <w:tcPr>
            <w:tcW w:w="18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3C0A6" w14:textId="77777777" w:rsidR="00EF53EA" w:rsidRPr="00403B73" w:rsidRDefault="00EF53EA" w:rsidP="00AA12FC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D728502" w14:textId="77777777" w:rsidR="00EF53EA" w:rsidRPr="00403B73" w:rsidRDefault="00891C55" w:rsidP="00AA12FC">
            <w:pPr>
              <w:spacing w:after="0" w:line="259" w:lineRule="auto"/>
              <w:ind w:left="31" w:right="28" w:firstLine="0"/>
              <w:jc w:val="left"/>
              <w:rPr>
                <w:rFonts w:asciiTheme="minorHAnsi" w:hAnsiTheme="minorHAnsi" w:cstheme="minorHAnsi"/>
              </w:rPr>
            </w:pPr>
            <w:r w:rsidRPr="00403B73">
              <w:rPr>
                <w:rFonts w:asciiTheme="minorHAnsi" w:hAnsiTheme="minorHAnsi" w:cstheme="minorHAnsi"/>
                <w:b/>
              </w:rPr>
              <w:t xml:space="preserve">Dla łącza 300 </w:t>
            </w:r>
            <w:proofErr w:type="spellStart"/>
            <w:r w:rsidRPr="00403B73">
              <w:rPr>
                <w:rFonts w:asciiTheme="minorHAnsi" w:hAnsiTheme="minorHAnsi" w:cstheme="minorHAnsi"/>
                <w:b/>
              </w:rPr>
              <w:t>Mbit</w:t>
            </w:r>
            <w:proofErr w:type="spellEnd"/>
            <w:r w:rsidRPr="00403B73">
              <w:rPr>
                <w:rFonts w:asciiTheme="minorHAnsi" w:hAnsiTheme="minorHAnsi" w:cstheme="minorHAnsi"/>
                <w:b/>
              </w:rPr>
              <w:t xml:space="preserve">/s </w:t>
            </w:r>
          </w:p>
        </w:tc>
        <w:tc>
          <w:tcPr>
            <w:tcW w:w="15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D657C5D" w14:textId="77777777" w:rsidR="00EF53EA" w:rsidRPr="00403B73" w:rsidRDefault="00891C55" w:rsidP="00AA12FC">
            <w:pPr>
              <w:spacing w:after="0" w:line="259" w:lineRule="auto"/>
              <w:ind w:left="48" w:right="47" w:firstLine="0"/>
              <w:jc w:val="left"/>
              <w:rPr>
                <w:rFonts w:asciiTheme="minorHAnsi" w:hAnsiTheme="minorHAnsi" w:cstheme="minorHAnsi"/>
              </w:rPr>
            </w:pPr>
            <w:r w:rsidRPr="00403B73">
              <w:rPr>
                <w:rFonts w:asciiTheme="minorHAnsi" w:hAnsiTheme="minorHAnsi" w:cstheme="minorHAnsi"/>
                <w:b/>
              </w:rPr>
              <w:t xml:space="preserve">Dla łącza 1 </w:t>
            </w:r>
            <w:proofErr w:type="spellStart"/>
            <w:r w:rsidRPr="00403B73">
              <w:rPr>
                <w:rFonts w:asciiTheme="minorHAnsi" w:hAnsiTheme="minorHAnsi" w:cstheme="minorHAnsi"/>
                <w:b/>
              </w:rPr>
              <w:t>Gbit</w:t>
            </w:r>
            <w:proofErr w:type="spellEnd"/>
            <w:r w:rsidRPr="00403B73">
              <w:rPr>
                <w:rFonts w:asciiTheme="minorHAnsi" w:hAnsiTheme="minorHAnsi" w:cstheme="minorHAnsi"/>
                <w:b/>
              </w:rPr>
              <w:t xml:space="preserve">/s 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960BF13" w14:textId="77777777" w:rsidR="00EF53EA" w:rsidRPr="00403B73" w:rsidRDefault="00891C55" w:rsidP="00AA12FC">
            <w:pPr>
              <w:spacing w:after="0" w:line="259" w:lineRule="auto"/>
              <w:ind w:left="26" w:right="26" w:firstLine="0"/>
              <w:jc w:val="left"/>
              <w:rPr>
                <w:rFonts w:asciiTheme="minorHAnsi" w:hAnsiTheme="minorHAnsi" w:cstheme="minorHAnsi"/>
              </w:rPr>
            </w:pPr>
            <w:r w:rsidRPr="00403B73">
              <w:rPr>
                <w:rFonts w:asciiTheme="minorHAnsi" w:hAnsiTheme="minorHAnsi" w:cstheme="minorHAnsi"/>
                <w:b/>
              </w:rPr>
              <w:t xml:space="preserve">Dla łącza 300 </w:t>
            </w:r>
            <w:proofErr w:type="spellStart"/>
            <w:r w:rsidRPr="00403B73">
              <w:rPr>
                <w:rFonts w:asciiTheme="minorHAnsi" w:hAnsiTheme="minorHAnsi" w:cstheme="minorHAnsi"/>
                <w:b/>
              </w:rPr>
              <w:t>Mbit</w:t>
            </w:r>
            <w:proofErr w:type="spellEnd"/>
            <w:r w:rsidRPr="00403B73">
              <w:rPr>
                <w:rFonts w:asciiTheme="minorHAnsi" w:hAnsiTheme="minorHAnsi" w:cstheme="minorHAnsi"/>
                <w:b/>
              </w:rPr>
              <w:t xml:space="preserve">/s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F8EF3B9" w14:textId="77777777" w:rsidR="00EF53EA" w:rsidRPr="00403B73" w:rsidRDefault="00891C55" w:rsidP="00AA12FC">
            <w:pPr>
              <w:spacing w:after="0" w:line="259" w:lineRule="auto"/>
              <w:ind w:left="79" w:right="76" w:firstLine="0"/>
              <w:jc w:val="left"/>
              <w:rPr>
                <w:rFonts w:asciiTheme="minorHAnsi" w:hAnsiTheme="minorHAnsi" w:cstheme="minorHAnsi"/>
              </w:rPr>
            </w:pPr>
            <w:r w:rsidRPr="00403B73">
              <w:rPr>
                <w:rFonts w:asciiTheme="minorHAnsi" w:hAnsiTheme="minorHAnsi" w:cstheme="minorHAnsi"/>
                <w:b/>
              </w:rPr>
              <w:t xml:space="preserve">Dla łącza 1 </w:t>
            </w:r>
            <w:proofErr w:type="spellStart"/>
            <w:r w:rsidRPr="00403B73">
              <w:rPr>
                <w:rFonts w:asciiTheme="minorHAnsi" w:hAnsiTheme="minorHAnsi" w:cstheme="minorHAnsi"/>
                <w:b/>
              </w:rPr>
              <w:t>Gbit</w:t>
            </w:r>
            <w:proofErr w:type="spellEnd"/>
            <w:r w:rsidRPr="00403B73">
              <w:rPr>
                <w:rFonts w:asciiTheme="minorHAnsi" w:hAnsiTheme="minorHAnsi" w:cstheme="minorHAnsi"/>
                <w:b/>
              </w:rPr>
              <w:t xml:space="preserve">/s </w:t>
            </w:r>
          </w:p>
        </w:tc>
      </w:tr>
      <w:tr w:rsidR="00EF53EA" w:rsidRPr="00AA12FC" w14:paraId="75DC56CA" w14:textId="77777777" w:rsidTr="00403B73">
        <w:trPr>
          <w:trHeight w:val="336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E1C1AB1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738DC41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315,0 </w:t>
            </w:r>
          </w:p>
        </w:tc>
        <w:tc>
          <w:tcPr>
            <w:tcW w:w="15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B668F4A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1 000,0 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893F675" w14:textId="77777777" w:rsidR="00EF53EA" w:rsidRPr="00AA12FC" w:rsidRDefault="00891C55" w:rsidP="00AA12FC">
            <w:pPr>
              <w:spacing w:after="0" w:line="259" w:lineRule="auto"/>
              <w:ind w:left="0" w:right="43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630,0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62A18C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2 000,0 </w:t>
            </w:r>
          </w:p>
        </w:tc>
      </w:tr>
      <w:tr w:rsidR="00EF53EA" w:rsidRPr="00AA12FC" w14:paraId="057C2BF9" w14:textId="77777777" w:rsidTr="00403B73">
        <w:trPr>
          <w:trHeight w:val="329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0FA88E8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62FA22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420,0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E22B9A0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1 050,0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5380FB4" w14:textId="77777777" w:rsidR="00EF53EA" w:rsidRPr="00AA12FC" w:rsidRDefault="00891C55" w:rsidP="00AA12FC">
            <w:pPr>
              <w:spacing w:after="0" w:line="259" w:lineRule="auto"/>
              <w:ind w:left="0" w:right="43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840,0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BF71C4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2 100,0 </w:t>
            </w:r>
          </w:p>
        </w:tc>
      </w:tr>
      <w:tr w:rsidR="00EF53EA" w:rsidRPr="00AA12FC" w14:paraId="2537922B" w14:textId="77777777" w:rsidTr="00403B73">
        <w:trPr>
          <w:trHeight w:val="312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7AF92AE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59ACF8D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525,0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F194791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1 050,0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7DB557A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1 050,0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6AEDF4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2 100,0 </w:t>
            </w:r>
          </w:p>
        </w:tc>
      </w:tr>
      <w:tr w:rsidR="00EF53EA" w:rsidRPr="00AA12FC" w14:paraId="77DCED87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FEF3E02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82AAA04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630,0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7C94CBF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1 400,0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0920771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1 260,0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343B8A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2 800,0 </w:t>
            </w:r>
          </w:p>
        </w:tc>
      </w:tr>
      <w:tr w:rsidR="00EF53EA" w:rsidRPr="00AA12FC" w14:paraId="01CA9D33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91506C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EC72D27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630,0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A1C1CFD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1 400,0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390FE6F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1 260,0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C7DD112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2 800,0 </w:t>
            </w:r>
          </w:p>
        </w:tc>
      </w:tr>
      <w:tr w:rsidR="00EF53EA" w:rsidRPr="00AA12FC" w14:paraId="4445EDB4" w14:textId="77777777" w:rsidTr="00403B73">
        <w:trPr>
          <w:trHeight w:val="329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4FD522B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5460EA6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735,0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BACA450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1 750,0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92858C4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1 470,0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E250E3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3 500,0 </w:t>
            </w:r>
          </w:p>
        </w:tc>
      </w:tr>
      <w:tr w:rsidR="00EF53EA" w:rsidRPr="00AA12FC" w14:paraId="4626ACA1" w14:textId="77777777" w:rsidTr="00403B73">
        <w:trPr>
          <w:trHeight w:val="312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9BCF90B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7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1AAEEFD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840,0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9F5180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1 750,0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C06836E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1 680,0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ECC3F6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3 500,0 </w:t>
            </w:r>
          </w:p>
        </w:tc>
      </w:tr>
      <w:tr w:rsidR="00EF53EA" w:rsidRPr="00AA12FC" w14:paraId="71F9FD09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4B9647E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75124F7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945,0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0406DA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2 100,0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8879AFB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1 890,0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5517B75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4 200,0 </w:t>
            </w:r>
          </w:p>
        </w:tc>
      </w:tr>
      <w:tr w:rsidR="00EF53EA" w:rsidRPr="00AA12FC" w14:paraId="59B7A759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E6D31B1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E180AAC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945,0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B5E4B3D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2 100,0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B794C6F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1 890,0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7762009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4 200,0 </w:t>
            </w:r>
          </w:p>
        </w:tc>
      </w:tr>
      <w:tr w:rsidR="00EF53EA" w:rsidRPr="00AA12FC" w14:paraId="7218A5BD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59BF65E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B4769B5" w14:textId="77777777" w:rsidR="00EF53EA" w:rsidRPr="00AA12FC" w:rsidRDefault="00891C55" w:rsidP="00AA12FC">
            <w:pPr>
              <w:spacing w:after="0" w:line="259" w:lineRule="auto"/>
              <w:ind w:left="0" w:right="39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1 050,0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AF44CE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2 100,0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7EF7D02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2 100,0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9B9E67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4 200,0 </w:t>
            </w:r>
          </w:p>
        </w:tc>
      </w:tr>
      <w:tr w:rsidR="00EF53EA" w:rsidRPr="00AA12FC" w14:paraId="57CE1D39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69B3913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BE959A7" w14:textId="77777777" w:rsidR="00EF53EA" w:rsidRPr="00AA12FC" w:rsidRDefault="00891C55" w:rsidP="00AA12FC">
            <w:pPr>
              <w:spacing w:after="0" w:line="259" w:lineRule="auto"/>
              <w:ind w:left="0" w:right="39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1 365,0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2214E02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2 800,0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2BA83C3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2 730,0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85D8BEF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5 600,0 </w:t>
            </w:r>
          </w:p>
        </w:tc>
      </w:tr>
      <w:tr w:rsidR="00EF53EA" w:rsidRPr="00AA12FC" w14:paraId="0EACA036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94405E7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1A31B80" w14:textId="77777777" w:rsidR="00EF53EA" w:rsidRPr="00AA12FC" w:rsidRDefault="00891C55" w:rsidP="00AA12FC">
            <w:pPr>
              <w:spacing w:after="0" w:line="259" w:lineRule="auto"/>
              <w:ind w:left="0" w:right="39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1 785,0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62DA43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3 500,0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05C113B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3 570,0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70DFCEC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7 000,0 </w:t>
            </w:r>
          </w:p>
        </w:tc>
      </w:tr>
      <w:tr w:rsidR="00EF53EA" w:rsidRPr="00AA12FC" w14:paraId="4AB648B2" w14:textId="77777777" w:rsidTr="00403B73">
        <w:trPr>
          <w:trHeight w:val="331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F8AED1F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FB765E6" w14:textId="77777777" w:rsidR="00EF53EA" w:rsidRPr="00AA12FC" w:rsidRDefault="00891C55" w:rsidP="00AA12FC">
            <w:pPr>
              <w:spacing w:after="0" w:line="259" w:lineRule="auto"/>
              <w:ind w:left="0" w:right="39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2 100,0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CD05C5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4 200,0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963088B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4 200,0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74B9C42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8 400,0 </w:t>
            </w:r>
          </w:p>
        </w:tc>
      </w:tr>
      <w:tr w:rsidR="00EF53EA" w:rsidRPr="00AA12FC" w14:paraId="315E6963" w14:textId="77777777" w:rsidTr="00403B73">
        <w:trPr>
          <w:trHeight w:val="329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E0FC1C2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30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D891B4C" w14:textId="77777777" w:rsidR="00EF53EA" w:rsidRPr="00AA12FC" w:rsidRDefault="00891C55" w:rsidP="00AA12FC">
            <w:pPr>
              <w:spacing w:after="0" w:line="259" w:lineRule="auto"/>
              <w:ind w:left="0" w:right="39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2 415,0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FE91B10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4 550,0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CBFF03B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4 830,0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A6FE2D8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9 100,0 </w:t>
            </w:r>
          </w:p>
        </w:tc>
      </w:tr>
      <w:tr w:rsidR="00EF53EA" w:rsidRPr="00AA12FC" w14:paraId="3551B471" w14:textId="77777777" w:rsidTr="00403B73">
        <w:trPr>
          <w:trHeight w:val="312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DFDCA9E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C52C618" w14:textId="77777777" w:rsidR="00EF53EA" w:rsidRPr="00AA12FC" w:rsidRDefault="00891C55" w:rsidP="00AA12FC">
            <w:pPr>
              <w:spacing w:after="0" w:line="259" w:lineRule="auto"/>
              <w:ind w:left="0" w:right="39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3 045,0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86777C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5 950,0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7A2B80C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6 090,0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87B82B1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11 900,0 </w:t>
            </w:r>
          </w:p>
        </w:tc>
      </w:tr>
      <w:tr w:rsidR="00EF53EA" w:rsidRPr="00AA12FC" w14:paraId="44FC51CA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A841B82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50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9201681" w14:textId="77777777" w:rsidR="00EF53EA" w:rsidRPr="00AA12FC" w:rsidRDefault="00891C55" w:rsidP="00AA12FC">
            <w:pPr>
              <w:spacing w:after="0" w:line="259" w:lineRule="auto"/>
              <w:ind w:left="0" w:right="39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3 675,0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F0C2942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7 000,0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0978D03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7 350,0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109833B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14 000,0 </w:t>
            </w:r>
          </w:p>
        </w:tc>
      </w:tr>
      <w:tr w:rsidR="00EF53EA" w:rsidRPr="00AA12FC" w14:paraId="46D84AC6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EDA86AE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60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06D81F3" w14:textId="77777777" w:rsidR="00EF53EA" w:rsidRPr="00AA12FC" w:rsidRDefault="00891C55" w:rsidP="00AA12FC">
            <w:pPr>
              <w:spacing w:after="0" w:line="259" w:lineRule="auto"/>
              <w:ind w:left="0" w:right="39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4 305,0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41F1EB8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8 050,0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8EA51B5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8 610,0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4D76ED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16 100,0 </w:t>
            </w:r>
          </w:p>
        </w:tc>
      </w:tr>
      <w:tr w:rsidR="00EF53EA" w:rsidRPr="00AA12FC" w14:paraId="60ACD177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2B95E40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70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C61B2AA" w14:textId="77777777" w:rsidR="00EF53EA" w:rsidRPr="00AA12FC" w:rsidRDefault="00891C55" w:rsidP="00AA12FC">
            <w:pPr>
              <w:spacing w:after="0" w:line="259" w:lineRule="auto"/>
              <w:ind w:left="0" w:right="39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4 935,0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B0FEF82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9 100,0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D644092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9 870,0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A0DDB8F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18 200,0 </w:t>
            </w:r>
          </w:p>
        </w:tc>
      </w:tr>
      <w:tr w:rsidR="00EF53EA" w:rsidRPr="00AA12FC" w14:paraId="65AF40E5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0ECBE3C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80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54AF53C" w14:textId="77777777" w:rsidR="00EF53EA" w:rsidRPr="00AA12FC" w:rsidRDefault="00891C55" w:rsidP="00AA12FC">
            <w:pPr>
              <w:spacing w:after="0" w:line="259" w:lineRule="auto"/>
              <w:ind w:left="0" w:right="39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5 460,0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7AEFF26" w14:textId="77777777" w:rsidR="00EF53EA" w:rsidRPr="00AA12FC" w:rsidRDefault="00891C55" w:rsidP="00AA12FC">
            <w:pPr>
              <w:spacing w:after="0" w:line="259" w:lineRule="auto"/>
              <w:ind w:left="0" w:right="40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10 150,0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F7F347C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10 920,0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E0D7786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20 300,0 </w:t>
            </w:r>
          </w:p>
        </w:tc>
      </w:tr>
      <w:tr w:rsidR="00EF53EA" w:rsidRPr="00AA12FC" w14:paraId="31BA0339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F597CB8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90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712450E" w14:textId="77777777" w:rsidR="00EF53EA" w:rsidRPr="00AA12FC" w:rsidRDefault="00891C55" w:rsidP="00AA12FC">
            <w:pPr>
              <w:spacing w:after="0" w:line="259" w:lineRule="auto"/>
              <w:ind w:left="0" w:right="39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6 090,0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F01C5B" w14:textId="77777777" w:rsidR="00EF53EA" w:rsidRPr="00AA12FC" w:rsidRDefault="00891C55" w:rsidP="00AA12FC">
            <w:pPr>
              <w:spacing w:after="0" w:line="259" w:lineRule="auto"/>
              <w:ind w:left="0" w:right="40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11 200,0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07C82B0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12 180,0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3AE532E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22 400,0 </w:t>
            </w:r>
          </w:p>
        </w:tc>
      </w:tr>
      <w:tr w:rsidR="00EF53EA" w:rsidRPr="00AA12FC" w14:paraId="13DA2021" w14:textId="77777777" w:rsidTr="00403B73">
        <w:trPr>
          <w:trHeight w:val="312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81A70AE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961AE49" w14:textId="77777777" w:rsidR="00EF53EA" w:rsidRPr="00AA12FC" w:rsidRDefault="00891C55" w:rsidP="00AA12FC">
            <w:pPr>
              <w:spacing w:after="0" w:line="259" w:lineRule="auto"/>
              <w:ind w:left="0" w:right="39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6 720,0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367EFA6" w14:textId="77777777" w:rsidR="00EF53EA" w:rsidRPr="00AA12FC" w:rsidRDefault="00891C55" w:rsidP="00AA12FC">
            <w:pPr>
              <w:spacing w:after="0" w:line="259" w:lineRule="auto"/>
              <w:ind w:left="0" w:right="40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12 250,0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56197EE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13 440,0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C0E8391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24 500,0 </w:t>
            </w:r>
          </w:p>
        </w:tc>
      </w:tr>
      <w:tr w:rsidR="00EF53EA" w:rsidRPr="00AA12FC" w14:paraId="16BE70A9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20F4C49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125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FEE4C23" w14:textId="77777777" w:rsidR="00EF53EA" w:rsidRPr="00AA12FC" w:rsidRDefault="00891C55" w:rsidP="00AA12FC">
            <w:pPr>
              <w:spacing w:after="0" w:line="259" w:lineRule="auto"/>
              <w:ind w:left="0" w:right="39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8 085,0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3EB965C" w14:textId="77777777" w:rsidR="00EF53EA" w:rsidRPr="00AA12FC" w:rsidRDefault="00891C55" w:rsidP="00AA12FC">
            <w:pPr>
              <w:spacing w:after="0" w:line="259" w:lineRule="auto"/>
              <w:ind w:left="0" w:right="40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14 700,0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F41160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16 170,0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14B746F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29 400,0 </w:t>
            </w:r>
          </w:p>
        </w:tc>
      </w:tr>
      <w:tr w:rsidR="00EF53EA" w:rsidRPr="00AA12FC" w14:paraId="2300EA6C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2F4CEED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150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4B3112C" w14:textId="77777777" w:rsidR="00EF53EA" w:rsidRPr="00AA12FC" w:rsidRDefault="00891C55" w:rsidP="00AA12FC">
            <w:pPr>
              <w:spacing w:after="0" w:line="259" w:lineRule="auto"/>
              <w:ind w:left="0" w:right="39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9 555,0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4A68BDF" w14:textId="77777777" w:rsidR="00EF53EA" w:rsidRPr="00AA12FC" w:rsidRDefault="00891C55" w:rsidP="00AA12FC">
            <w:pPr>
              <w:spacing w:after="0" w:line="259" w:lineRule="auto"/>
              <w:ind w:left="0" w:right="40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17 150,0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450970C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19 110,0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BF6135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34 300,0 </w:t>
            </w:r>
          </w:p>
        </w:tc>
      </w:tr>
      <w:tr w:rsidR="00EF53EA" w:rsidRPr="00AA12FC" w14:paraId="62E473C5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52E059A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199D305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12 495,0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54113DA" w14:textId="77777777" w:rsidR="00EF53EA" w:rsidRPr="00AA12FC" w:rsidRDefault="00891C55" w:rsidP="00AA12FC">
            <w:pPr>
              <w:spacing w:after="0" w:line="259" w:lineRule="auto"/>
              <w:ind w:left="0" w:right="40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22 400,0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CA34C0B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24 990,0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A909AA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44 800,0 </w:t>
            </w:r>
          </w:p>
        </w:tc>
      </w:tr>
      <w:tr w:rsidR="00EF53EA" w:rsidRPr="00AA12FC" w14:paraId="7F315F5C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3A26D1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250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EF004C7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15 330,0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8F43304" w14:textId="77777777" w:rsidR="00EF53EA" w:rsidRPr="00AA12FC" w:rsidRDefault="00891C55" w:rsidP="00AA12FC">
            <w:pPr>
              <w:spacing w:after="0" w:line="259" w:lineRule="auto"/>
              <w:ind w:left="0" w:right="40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26 950,0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B55E970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30 660,0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9E91E03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53 900,0 </w:t>
            </w:r>
          </w:p>
        </w:tc>
      </w:tr>
      <w:tr w:rsidR="00EF53EA" w:rsidRPr="00AA12FC" w14:paraId="505A5473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4243972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300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CBC88FB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18 165,0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7DFD25D" w14:textId="77777777" w:rsidR="00EF53EA" w:rsidRPr="00AA12FC" w:rsidRDefault="00891C55" w:rsidP="00AA12FC">
            <w:pPr>
              <w:spacing w:after="0" w:line="259" w:lineRule="auto"/>
              <w:ind w:left="0" w:right="40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31 850,0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095F0B5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36 330,0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402F11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63 700,0 </w:t>
            </w:r>
          </w:p>
        </w:tc>
      </w:tr>
      <w:tr w:rsidR="00EF53EA" w:rsidRPr="00AA12FC" w14:paraId="6964148A" w14:textId="77777777" w:rsidTr="00403B73">
        <w:trPr>
          <w:trHeight w:val="313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4669F3D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FF7C15F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23 730,0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EC24E07" w14:textId="77777777" w:rsidR="00EF53EA" w:rsidRPr="00AA12FC" w:rsidRDefault="00891C55" w:rsidP="00AA12FC">
            <w:pPr>
              <w:spacing w:after="0" w:line="259" w:lineRule="auto"/>
              <w:ind w:left="0" w:right="40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41 650,0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382754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47 460,0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849919D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83 300,0 </w:t>
            </w:r>
          </w:p>
        </w:tc>
      </w:tr>
      <w:tr w:rsidR="00EF53EA" w:rsidRPr="00AA12FC" w14:paraId="417530DE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F74F08A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500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43CA206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29 295,0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206306" w14:textId="77777777" w:rsidR="00EF53EA" w:rsidRPr="00AA12FC" w:rsidRDefault="00891C55" w:rsidP="00AA12FC">
            <w:pPr>
              <w:spacing w:after="0" w:line="259" w:lineRule="auto"/>
              <w:ind w:left="0" w:right="40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51 100,0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683A269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58 590,0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FA900D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102 200,0 </w:t>
            </w:r>
          </w:p>
        </w:tc>
      </w:tr>
      <w:tr w:rsidR="00EF53EA" w:rsidRPr="00AA12FC" w14:paraId="193F3C2B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7E08EF0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600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CD8624F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34 755,0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440315C" w14:textId="77777777" w:rsidR="00EF53EA" w:rsidRPr="00AA12FC" w:rsidRDefault="00891C55" w:rsidP="00AA12FC">
            <w:pPr>
              <w:spacing w:after="0" w:line="259" w:lineRule="auto"/>
              <w:ind w:left="0" w:right="40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60 550,0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DB28D43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69 510,0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5E1F9F7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121 100,0 </w:t>
            </w:r>
          </w:p>
        </w:tc>
      </w:tr>
      <w:tr w:rsidR="00EF53EA" w:rsidRPr="00AA12FC" w14:paraId="12B64A53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F40362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lastRenderedPageBreak/>
              <w:t xml:space="preserve">700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1327E34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40 320,0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9203BD3" w14:textId="77777777" w:rsidR="00EF53EA" w:rsidRPr="00AA12FC" w:rsidRDefault="00891C55" w:rsidP="00AA12FC">
            <w:pPr>
              <w:spacing w:after="0" w:line="259" w:lineRule="auto"/>
              <w:ind w:left="0" w:right="40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69 650,0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A3EA90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80 640,0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F6A7924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139 300,0 </w:t>
            </w:r>
          </w:p>
        </w:tc>
      </w:tr>
      <w:tr w:rsidR="00EF53EA" w:rsidRPr="00AA12FC" w14:paraId="08207875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64E095F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800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ACA7CB2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45 780,0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51E83D1" w14:textId="77777777" w:rsidR="00EF53EA" w:rsidRPr="00AA12FC" w:rsidRDefault="00891C55" w:rsidP="00AA12FC">
            <w:pPr>
              <w:spacing w:after="0" w:line="259" w:lineRule="auto"/>
              <w:ind w:left="0" w:right="40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79 100,0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EB3C9E1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91 560,0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54BE98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158 200,0 </w:t>
            </w:r>
          </w:p>
        </w:tc>
      </w:tr>
      <w:tr w:rsidR="00EF53EA" w:rsidRPr="00AA12FC" w14:paraId="51F135EC" w14:textId="77777777" w:rsidTr="00403B73">
        <w:trPr>
          <w:trHeight w:val="310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0B9CC90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900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2E999A7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51 240,0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6B8750E" w14:textId="77777777" w:rsidR="00EF53EA" w:rsidRPr="00AA12FC" w:rsidRDefault="00891C55" w:rsidP="00AA12FC">
            <w:pPr>
              <w:spacing w:after="0" w:line="259" w:lineRule="auto"/>
              <w:ind w:left="0" w:right="40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88 200,0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D6F8EAD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102 480,0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C14E9A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176 400,0 </w:t>
            </w:r>
          </w:p>
        </w:tc>
      </w:tr>
      <w:tr w:rsidR="00EF53EA" w:rsidRPr="00AA12FC" w14:paraId="24E41A4D" w14:textId="77777777" w:rsidTr="00403B73">
        <w:trPr>
          <w:trHeight w:val="336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E7F9E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1000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A62A4EC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56 700,0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55DA103" w14:textId="77777777" w:rsidR="00EF53EA" w:rsidRPr="00AA12FC" w:rsidRDefault="00891C55" w:rsidP="00AA12FC">
            <w:pPr>
              <w:spacing w:after="0" w:line="259" w:lineRule="auto"/>
              <w:ind w:left="0" w:right="40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97 650,0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F6E189" w14:textId="77777777" w:rsidR="00EF53EA" w:rsidRPr="00AA12FC" w:rsidRDefault="00891C55" w:rsidP="00AA12FC">
            <w:pPr>
              <w:spacing w:after="0" w:line="259" w:lineRule="auto"/>
              <w:ind w:left="0" w:right="41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113 400,0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136F865" w14:textId="77777777" w:rsidR="00EF53EA" w:rsidRPr="00AA12FC" w:rsidRDefault="00891C55" w:rsidP="00AA12FC">
            <w:pPr>
              <w:spacing w:after="0" w:line="259" w:lineRule="auto"/>
              <w:ind w:left="0" w:right="38" w:firstLine="0"/>
              <w:jc w:val="left"/>
              <w:rPr>
                <w:rFonts w:asciiTheme="minorHAnsi" w:hAnsiTheme="minorHAnsi" w:cstheme="minorHAnsi"/>
              </w:rPr>
            </w:pPr>
            <w:r w:rsidRPr="00AA12FC">
              <w:rPr>
                <w:rFonts w:asciiTheme="minorHAnsi" w:hAnsiTheme="minorHAnsi" w:cstheme="minorHAnsi"/>
                <w:sz w:val="18"/>
              </w:rPr>
              <w:t xml:space="preserve">195 300,0 </w:t>
            </w:r>
          </w:p>
        </w:tc>
      </w:tr>
    </w:tbl>
    <w:p w14:paraId="5DD1CD1E" w14:textId="145CEDDB" w:rsidR="00EF53EA" w:rsidRPr="00AA12FC" w:rsidRDefault="00EF53EA" w:rsidP="00403B73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sectPr w:rsidR="00EF53EA" w:rsidRPr="00AA12FC">
      <w:headerReference w:type="default" r:id="rId7"/>
      <w:pgSz w:w="11906" w:h="16838"/>
      <w:pgMar w:top="1459" w:right="1413" w:bottom="141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D556C" w14:textId="77777777" w:rsidR="0010245C" w:rsidRDefault="00891C55">
      <w:pPr>
        <w:spacing w:after="0" w:line="240" w:lineRule="auto"/>
      </w:pPr>
      <w:r>
        <w:separator/>
      </w:r>
    </w:p>
  </w:endnote>
  <w:endnote w:type="continuationSeparator" w:id="0">
    <w:p w14:paraId="02078C64" w14:textId="77777777" w:rsidR="0010245C" w:rsidRDefault="00891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6ED3C" w14:textId="77777777" w:rsidR="00EF53EA" w:rsidRDefault="00891C55">
      <w:pPr>
        <w:spacing w:after="0" w:line="250" w:lineRule="auto"/>
        <w:ind w:left="0" w:right="0" w:firstLine="0"/>
      </w:pPr>
      <w:r>
        <w:separator/>
      </w:r>
    </w:p>
  </w:footnote>
  <w:footnote w:type="continuationSeparator" w:id="0">
    <w:p w14:paraId="162C9125" w14:textId="77777777" w:rsidR="00EF53EA" w:rsidRDefault="00891C55">
      <w:pPr>
        <w:spacing w:after="0" w:line="250" w:lineRule="auto"/>
        <w:ind w:left="0" w:right="0" w:firstLine="0"/>
      </w:pPr>
      <w:r>
        <w:continuationSeparator/>
      </w:r>
    </w:p>
  </w:footnote>
  <w:footnote w:id="1">
    <w:p w14:paraId="65E42F83" w14:textId="77777777" w:rsidR="00EF53EA" w:rsidRDefault="00891C55">
      <w:pPr>
        <w:pStyle w:val="footnotedescription"/>
        <w:spacing w:line="250" w:lineRule="auto"/>
      </w:pPr>
      <w:r>
        <w:rPr>
          <w:rStyle w:val="footnotemark"/>
        </w:rPr>
        <w:footnoteRef/>
      </w:r>
      <w:r>
        <w:t xml:space="preserve"> W przypadku dostępu 1 </w:t>
      </w:r>
      <w:proofErr w:type="spellStart"/>
      <w:r>
        <w:t>Gbit</w:t>
      </w:r>
      <w:proofErr w:type="spellEnd"/>
      <w:r>
        <w:t xml:space="preserve">/s należy wskazać użytkowników, którzy znajdują się w jego zasięgu dla łącza w dół – dla których możliwe jest skalowanie do tej przepływności. </w:t>
      </w:r>
    </w:p>
  </w:footnote>
  <w:footnote w:id="2">
    <w:p w14:paraId="7DFFA9C6" w14:textId="77777777" w:rsidR="00EF53EA" w:rsidRDefault="00891C55">
      <w:pPr>
        <w:pStyle w:val="footnotedescription"/>
        <w:spacing w:line="248" w:lineRule="auto"/>
      </w:pPr>
      <w:r>
        <w:rPr>
          <w:rStyle w:val="footnotemark"/>
        </w:rPr>
        <w:footnoteRef/>
      </w:r>
      <w:r>
        <w:t xml:space="preserve"> Wolumeny maksymalne dla szerokopasmowego dostępu stałego - przekraczane przez 5% użytkowników generujących największy ruch.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B87AA" w14:textId="34C44BD5" w:rsidR="00891C55" w:rsidRDefault="009126DA">
    <w:pPr>
      <w:pStyle w:val="Nagwek"/>
    </w:pPr>
    <w:r w:rsidRPr="009126DA">
      <w:rPr>
        <w:rFonts w:cs="Times New Roman"/>
        <w:noProof/>
        <w:color w:val="auto"/>
        <w:kern w:val="0"/>
        <w:lang w:eastAsia="en-US"/>
        <w14:ligatures w14:val="none"/>
      </w:rPr>
      <w:drawing>
        <wp:inline distT="0" distB="0" distL="0" distR="0" wp14:anchorId="699DF707" wp14:editId="6C1AC0C6">
          <wp:extent cx="5760720" cy="339090"/>
          <wp:effectExtent l="0" t="0" r="0" b="3810"/>
          <wp:docPr id="619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81D30"/>
    <w:multiLevelType w:val="hybridMultilevel"/>
    <w:tmpl w:val="D158C97C"/>
    <w:lvl w:ilvl="0" w:tplc="2D0EC3F2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7692E2">
      <w:start w:val="1"/>
      <w:numFmt w:val="bullet"/>
      <w:lvlText w:val="o"/>
      <w:lvlJc w:val="left"/>
      <w:pPr>
        <w:ind w:left="111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E42DD0">
      <w:start w:val="1"/>
      <w:numFmt w:val="bullet"/>
      <w:lvlText w:val="▪"/>
      <w:lvlJc w:val="left"/>
      <w:pPr>
        <w:ind w:left="18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64D89A">
      <w:start w:val="1"/>
      <w:numFmt w:val="bullet"/>
      <w:lvlText w:val="•"/>
      <w:lvlJc w:val="left"/>
      <w:pPr>
        <w:ind w:left="25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BE567A">
      <w:start w:val="1"/>
      <w:numFmt w:val="bullet"/>
      <w:lvlText w:val="o"/>
      <w:lvlJc w:val="left"/>
      <w:pPr>
        <w:ind w:left="32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0EFA44">
      <w:start w:val="1"/>
      <w:numFmt w:val="bullet"/>
      <w:lvlText w:val="▪"/>
      <w:lvlJc w:val="left"/>
      <w:pPr>
        <w:ind w:left="40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52045E">
      <w:start w:val="1"/>
      <w:numFmt w:val="bullet"/>
      <w:lvlText w:val="•"/>
      <w:lvlJc w:val="left"/>
      <w:pPr>
        <w:ind w:left="47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642994">
      <w:start w:val="1"/>
      <w:numFmt w:val="bullet"/>
      <w:lvlText w:val="o"/>
      <w:lvlJc w:val="left"/>
      <w:pPr>
        <w:ind w:left="54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4E751E">
      <w:start w:val="1"/>
      <w:numFmt w:val="bullet"/>
      <w:lvlText w:val="▪"/>
      <w:lvlJc w:val="left"/>
      <w:pPr>
        <w:ind w:left="61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2305BE"/>
    <w:multiLevelType w:val="hybridMultilevel"/>
    <w:tmpl w:val="0786D9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F24220"/>
    <w:multiLevelType w:val="hybridMultilevel"/>
    <w:tmpl w:val="2D102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85D6F"/>
    <w:multiLevelType w:val="hybridMultilevel"/>
    <w:tmpl w:val="74BCA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425D1"/>
    <w:multiLevelType w:val="hybridMultilevel"/>
    <w:tmpl w:val="E3A034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387382D"/>
    <w:multiLevelType w:val="hybridMultilevel"/>
    <w:tmpl w:val="CDDE7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67D78"/>
    <w:multiLevelType w:val="hybridMultilevel"/>
    <w:tmpl w:val="2EC00B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A67CFC"/>
    <w:multiLevelType w:val="hybridMultilevel"/>
    <w:tmpl w:val="5D86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9725E"/>
    <w:multiLevelType w:val="hybridMultilevel"/>
    <w:tmpl w:val="05502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C252C"/>
    <w:multiLevelType w:val="hybridMultilevel"/>
    <w:tmpl w:val="9AE84E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91B0C8A"/>
    <w:multiLevelType w:val="hybridMultilevel"/>
    <w:tmpl w:val="2A2C5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11420"/>
    <w:multiLevelType w:val="hybridMultilevel"/>
    <w:tmpl w:val="9F84F3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6809917">
    <w:abstractNumId w:val="0"/>
  </w:num>
  <w:num w:numId="2" w16cid:durableId="1320497123">
    <w:abstractNumId w:val="8"/>
  </w:num>
  <w:num w:numId="3" w16cid:durableId="1924947322">
    <w:abstractNumId w:val="10"/>
  </w:num>
  <w:num w:numId="4" w16cid:durableId="594099769">
    <w:abstractNumId w:val="6"/>
  </w:num>
  <w:num w:numId="5" w16cid:durableId="185564896">
    <w:abstractNumId w:val="2"/>
  </w:num>
  <w:num w:numId="6" w16cid:durableId="1082917468">
    <w:abstractNumId w:val="1"/>
  </w:num>
  <w:num w:numId="7" w16cid:durableId="1396927083">
    <w:abstractNumId w:val="7"/>
  </w:num>
  <w:num w:numId="8" w16cid:durableId="643975010">
    <w:abstractNumId w:val="4"/>
  </w:num>
  <w:num w:numId="9" w16cid:durableId="1978487670">
    <w:abstractNumId w:val="3"/>
  </w:num>
  <w:num w:numId="10" w16cid:durableId="592784018">
    <w:abstractNumId w:val="9"/>
  </w:num>
  <w:num w:numId="11" w16cid:durableId="994380588">
    <w:abstractNumId w:val="5"/>
  </w:num>
  <w:num w:numId="12" w16cid:durableId="5595123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3EA"/>
    <w:rsid w:val="0010245C"/>
    <w:rsid w:val="00343E4B"/>
    <w:rsid w:val="00403B73"/>
    <w:rsid w:val="005B2DE5"/>
    <w:rsid w:val="006B3076"/>
    <w:rsid w:val="006D5298"/>
    <w:rsid w:val="00811B74"/>
    <w:rsid w:val="00891C55"/>
    <w:rsid w:val="009126DA"/>
    <w:rsid w:val="00925019"/>
    <w:rsid w:val="009B74C6"/>
    <w:rsid w:val="00AA12FC"/>
    <w:rsid w:val="00B8304A"/>
    <w:rsid w:val="00E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C2DA1"/>
  <w15:docId w15:val="{2D07B68F-8403-4771-95E6-FAF900F0A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8" w:line="271" w:lineRule="auto"/>
      <w:ind w:left="435" w:right="3" w:hanging="435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AA12FC"/>
    <w:pPr>
      <w:keepNext/>
      <w:keepLines/>
      <w:spacing w:after="0" w:line="278" w:lineRule="auto"/>
      <w:ind w:left="10" w:hanging="10"/>
      <w:outlineLvl w:val="0"/>
    </w:pPr>
    <w:rPr>
      <w:rFonts w:ascii="Calibri" w:eastAsia="Calibri" w:hAnsi="Calibri" w:cs="Calibri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A12FC"/>
    <w:rPr>
      <w:rFonts w:ascii="Calibri" w:eastAsia="Calibri" w:hAnsi="Calibri" w:cs="Calibri"/>
      <w:b/>
      <w:bCs/>
      <w:color w:val="000000"/>
      <w:sz w:val="24"/>
      <w:szCs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9" w:lineRule="auto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91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C5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91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C55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AA1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1010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Wytyczne dotyczące modelu i metodyki określania pojemności infrastruktury radiowej dla konkursów w ramach Krajowego Planu Odbudowy i Zwiększania Odporności KPO oraz programu Fundusze Europejskie na Rozwój Cyfrowy 2021-2027 FERC</dc:title>
  <dc:subject/>
  <dc:creator>Katarzyna Buczek-Pawłowska</dc:creator>
  <cp:keywords/>
  <cp:lastModifiedBy>Agnieszka Ziomko-Olszewska</cp:lastModifiedBy>
  <cp:revision>5</cp:revision>
  <cp:lastPrinted>2024-05-24T10:33:00Z</cp:lastPrinted>
  <dcterms:created xsi:type="dcterms:W3CDTF">2024-05-24T09:19:00Z</dcterms:created>
  <dcterms:modified xsi:type="dcterms:W3CDTF">2025-03-31T09:49:00Z</dcterms:modified>
</cp:coreProperties>
</file>